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3D6" w:rsidRPr="00E80DEA" w:rsidRDefault="00AA5BE3">
      <w:pPr>
        <w:rPr>
          <w:b/>
        </w:rPr>
      </w:pPr>
      <w:r w:rsidRPr="00E80DEA">
        <w:rPr>
          <w:b/>
        </w:rPr>
        <w:t>Vocabulary for “I Know Why the Caged Bird Cannot Read”</w:t>
      </w:r>
    </w:p>
    <w:tbl>
      <w:tblPr>
        <w:tblStyle w:val="TableGrid"/>
        <w:tblW w:w="0" w:type="auto"/>
        <w:tblLook w:val="04A0"/>
      </w:tblPr>
      <w:tblGrid>
        <w:gridCol w:w="2330"/>
        <w:gridCol w:w="2330"/>
        <w:gridCol w:w="2330"/>
        <w:gridCol w:w="2330"/>
      </w:tblGrid>
      <w:tr w:rsidR="00AA5BE3" w:rsidTr="00E80DEA">
        <w:trPr>
          <w:trHeight w:val="2059"/>
        </w:trPr>
        <w:tc>
          <w:tcPr>
            <w:tcW w:w="2330" w:type="dxa"/>
          </w:tcPr>
          <w:p w:rsidR="00AA5BE3" w:rsidRDefault="00AA5BE3" w:rsidP="00AA5BE3">
            <w:pPr>
              <w:jc w:val="center"/>
              <w:rPr>
                <w:b/>
              </w:rPr>
            </w:pPr>
            <w:r w:rsidRPr="00AA5BE3">
              <w:rPr>
                <w:b/>
              </w:rPr>
              <w:t>Word</w:t>
            </w:r>
          </w:p>
          <w:p w:rsidR="00AA5BE3" w:rsidRDefault="00AA5BE3" w:rsidP="00AA5BE3">
            <w:pPr>
              <w:jc w:val="center"/>
              <w:rPr>
                <w:b/>
              </w:rPr>
            </w:pPr>
          </w:p>
          <w:p w:rsidR="00AA5BE3" w:rsidRPr="00AA5BE3" w:rsidRDefault="00AA5BE3" w:rsidP="00AA5BE3">
            <w:r>
              <w:t>Sentient</w:t>
            </w:r>
            <w:r w:rsidR="00E80DEA">
              <w:t xml:space="preserve">  (89)</w:t>
            </w:r>
          </w:p>
        </w:tc>
        <w:tc>
          <w:tcPr>
            <w:tcW w:w="2330" w:type="dxa"/>
          </w:tcPr>
          <w:p w:rsidR="00AA5BE3" w:rsidRDefault="00AA5BE3" w:rsidP="00AA5BE3">
            <w:pPr>
              <w:jc w:val="center"/>
              <w:rPr>
                <w:b/>
              </w:rPr>
            </w:pPr>
            <w:r w:rsidRPr="00AA5BE3">
              <w:rPr>
                <w:b/>
              </w:rPr>
              <w:t>Definition</w:t>
            </w:r>
          </w:p>
          <w:p w:rsidR="00AA5BE3" w:rsidRDefault="00AA5BE3" w:rsidP="00AA5BE3">
            <w:pPr>
              <w:jc w:val="center"/>
            </w:pPr>
          </w:p>
          <w:p w:rsidR="00AA5BE3" w:rsidRPr="00AA5BE3" w:rsidRDefault="00AA5BE3" w:rsidP="00AA5BE3">
            <w:r>
              <w:t>Conscious; able to receive information from the senses</w:t>
            </w:r>
          </w:p>
        </w:tc>
        <w:tc>
          <w:tcPr>
            <w:tcW w:w="2330" w:type="dxa"/>
          </w:tcPr>
          <w:p w:rsidR="00AA5BE3" w:rsidRDefault="00AA5BE3" w:rsidP="00AA5BE3">
            <w:pPr>
              <w:jc w:val="center"/>
              <w:rPr>
                <w:b/>
              </w:rPr>
            </w:pPr>
            <w:r w:rsidRPr="00AA5BE3">
              <w:rPr>
                <w:b/>
              </w:rPr>
              <w:t>Visual  Clue</w:t>
            </w:r>
          </w:p>
          <w:p w:rsidR="00AA5BE3" w:rsidRPr="00AA5BE3" w:rsidRDefault="00AA5BE3" w:rsidP="00AA5BE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019175" cy="752475"/>
                  <wp:effectExtent l="19050" t="0" r="9525" b="0"/>
                  <wp:docPr id="1" name="Picture 1" descr="C:\Documents and Settings\eharmon\Local Settings\Temporary Internet Files\Content.IE5\GF1C8DYK\MC9000160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eharmon\Local Settings\Temporary Internet Files\Content.IE5\GF1C8DYK\MC9000160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0" w:type="dxa"/>
          </w:tcPr>
          <w:p w:rsidR="00AA5BE3" w:rsidRDefault="00AA5BE3" w:rsidP="00AA5BE3">
            <w:pPr>
              <w:jc w:val="center"/>
              <w:rPr>
                <w:b/>
              </w:rPr>
            </w:pPr>
            <w:r w:rsidRPr="00AA5BE3">
              <w:rPr>
                <w:b/>
              </w:rPr>
              <w:t>Sentence</w:t>
            </w:r>
          </w:p>
          <w:p w:rsidR="00AA5BE3" w:rsidRDefault="00AA5BE3" w:rsidP="00AA5BE3"/>
          <w:p w:rsidR="00AA5BE3" w:rsidRPr="00AA5BE3" w:rsidRDefault="00AA5BE3" w:rsidP="00AA5BE3">
            <w:r>
              <w:t xml:space="preserve">Any </w:t>
            </w:r>
            <w:r w:rsidRPr="00E80DEA">
              <w:rPr>
                <w:b/>
              </w:rPr>
              <w:t>sentient</w:t>
            </w:r>
            <w:r>
              <w:t xml:space="preserve"> adult should know not to speak to a toddler in such a </w:t>
            </w:r>
            <w:r w:rsidR="00E80DEA">
              <w:t>derogatory manner.</w:t>
            </w:r>
          </w:p>
          <w:p w:rsidR="00AA5BE3" w:rsidRPr="00AA5BE3" w:rsidRDefault="00AA5BE3" w:rsidP="00AA5BE3">
            <w:pPr>
              <w:pStyle w:val="NoSpacing"/>
            </w:pPr>
          </w:p>
        </w:tc>
      </w:tr>
      <w:tr w:rsidR="00AA5BE3" w:rsidTr="00E80DEA">
        <w:trPr>
          <w:trHeight w:val="1715"/>
        </w:trPr>
        <w:tc>
          <w:tcPr>
            <w:tcW w:w="2330" w:type="dxa"/>
          </w:tcPr>
          <w:p w:rsidR="00AA5BE3" w:rsidRDefault="00AA5BE3"/>
          <w:p w:rsidR="00E80DEA" w:rsidRDefault="00E80DEA">
            <w:r>
              <w:t>Induction (20)</w:t>
            </w:r>
          </w:p>
          <w:p w:rsidR="00E80DEA" w:rsidRDefault="00E80DEA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</w:tr>
      <w:tr w:rsidR="00AA5BE3" w:rsidTr="00E80DEA">
        <w:trPr>
          <w:trHeight w:val="1619"/>
        </w:trPr>
        <w:tc>
          <w:tcPr>
            <w:tcW w:w="2330" w:type="dxa"/>
          </w:tcPr>
          <w:p w:rsidR="00AA5BE3" w:rsidRDefault="00AA5BE3"/>
          <w:p w:rsidR="00E80DEA" w:rsidRDefault="00E80DEA">
            <w:r>
              <w:t>Idiosyncratic  (90)</w:t>
            </w:r>
          </w:p>
          <w:p w:rsidR="00E80DEA" w:rsidRDefault="00E80DEA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</w:tr>
      <w:tr w:rsidR="00AA5BE3" w:rsidTr="00E80DEA">
        <w:trPr>
          <w:trHeight w:val="1619"/>
        </w:trPr>
        <w:tc>
          <w:tcPr>
            <w:tcW w:w="2330" w:type="dxa"/>
          </w:tcPr>
          <w:p w:rsidR="00AA5BE3" w:rsidRDefault="00AA5BE3"/>
          <w:p w:rsidR="00E80DEA" w:rsidRDefault="00E80DEA">
            <w:r>
              <w:t>Ballast (94)</w:t>
            </w:r>
          </w:p>
          <w:p w:rsidR="00E80DEA" w:rsidRDefault="00E80DEA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</w:tr>
      <w:tr w:rsidR="00AA5BE3" w:rsidTr="00E80DEA">
        <w:trPr>
          <w:trHeight w:val="1619"/>
        </w:trPr>
        <w:tc>
          <w:tcPr>
            <w:tcW w:w="2330" w:type="dxa"/>
          </w:tcPr>
          <w:p w:rsidR="00AA5BE3" w:rsidRDefault="00AA5BE3"/>
          <w:p w:rsidR="00E80DEA" w:rsidRDefault="00E80DEA">
            <w:r>
              <w:t>Banal (97)</w:t>
            </w:r>
          </w:p>
          <w:p w:rsidR="00E80DEA" w:rsidRDefault="00E80DEA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</w:tr>
      <w:tr w:rsidR="00AA5BE3" w:rsidTr="00E80DEA">
        <w:trPr>
          <w:trHeight w:val="1619"/>
        </w:trPr>
        <w:tc>
          <w:tcPr>
            <w:tcW w:w="2330" w:type="dxa"/>
          </w:tcPr>
          <w:p w:rsidR="00AA5BE3" w:rsidRDefault="00AA5BE3"/>
          <w:p w:rsidR="00E80DEA" w:rsidRDefault="00E80DEA">
            <w:r>
              <w:t>Ambiguity (97)</w:t>
            </w:r>
          </w:p>
          <w:p w:rsidR="00E80DEA" w:rsidRDefault="00E80DEA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</w:tr>
      <w:tr w:rsidR="00AA5BE3" w:rsidTr="00E80DEA">
        <w:trPr>
          <w:trHeight w:val="1715"/>
        </w:trPr>
        <w:tc>
          <w:tcPr>
            <w:tcW w:w="2330" w:type="dxa"/>
          </w:tcPr>
          <w:p w:rsidR="00AA5BE3" w:rsidRDefault="00AA5BE3"/>
          <w:p w:rsidR="00E80DEA" w:rsidRDefault="00E80DEA">
            <w:r>
              <w:t>Paradigm (92)</w:t>
            </w:r>
          </w:p>
          <w:p w:rsidR="00E80DEA" w:rsidRDefault="00E80DEA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</w:tr>
    </w:tbl>
    <w:p w:rsidR="00AA5BE3" w:rsidRDefault="00AA5BE3"/>
    <w:sectPr w:rsidR="00AA5BE3" w:rsidSect="00D103D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C0B" w:rsidRDefault="000B4C0B" w:rsidP="00AA5BE3">
      <w:pPr>
        <w:spacing w:after="0" w:line="240" w:lineRule="auto"/>
      </w:pPr>
      <w:r>
        <w:separator/>
      </w:r>
    </w:p>
  </w:endnote>
  <w:endnote w:type="continuationSeparator" w:id="0">
    <w:p w:rsidR="000B4C0B" w:rsidRDefault="000B4C0B" w:rsidP="00AA5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C0B" w:rsidRDefault="000B4C0B" w:rsidP="00AA5BE3">
      <w:pPr>
        <w:spacing w:after="0" w:line="240" w:lineRule="auto"/>
      </w:pPr>
      <w:r>
        <w:separator/>
      </w:r>
    </w:p>
  </w:footnote>
  <w:footnote w:type="continuationSeparator" w:id="0">
    <w:p w:rsidR="000B4C0B" w:rsidRDefault="000B4C0B" w:rsidP="00AA5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BE3" w:rsidRDefault="00AA5BE3">
    <w:pPr>
      <w:pStyle w:val="Header"/>
    </w:pPr>
    <w:r>
      <w:t>AP Lang</w:t>
    </w:r>
  </w:p>
  <w:p w:rsidR="00AA5BE3" w:rsidRDefault="00AA5B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BE3"/>
    <w:rsid w:val="000B4C0B"/>
    <w:rsid w:val="00AA5BE3"/>
    <w:rsid w:val="00D103D6"/>
    <w:rsid w:val="00E80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3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BE3"/>
  </w:style>
  <w:style w:type="paragraph" w:styleId="Footer">
    <w:name w:val="footer"/>
    <w:basedOn w:val="Normal"/>
    <w:link w:val="FooterChar"/>
    <w:uiPriority w:val="99"/>
    <w:semiHidden/>
    <w:unhideWhenUsed/>
    <w:rsid w:val="00AA5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5BE3"/>
  </w:style>
  <w:style w:type="paragraph" w:styleId="BalloonText">
    <w:name w:val="Balloon Text"/>
    <w:basedOn w:val="Normal"/>
    <w:link w:val="BalloonTextChar"/>
    <w:uiPriority w:val="99"/>
    <w:semiHidden/>
    <w:unhideWhenUsed/>
    <w:rsid w:val="00AA5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B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A5B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2011-09-01T22:05:00Z</dcterms:created>
  <dcterms:modified xsi:type="dcterms:W3CDTF">2011-09-01T22:23:00Z</dcterms:modified>
</cp:coreProperties>
</file>